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2246.01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38.04.04 Государственное и муниципальное управление (высшее образование - магистратура), Направленность (профиль) программы «Юридическое обеспечение деятельности органов государственной власти и местного самоуправления»,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2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Организация добровольческой (волонтерской) деятельности и взаимодействие с социально ориентированными НКО</w:t>
            </w:r>
          </w:p>
          <w:p>
            <w:pPr>
              <w:jc w:val="center"/>
              <w:spacing w:after="0" w:line="240" w:lineRule="auto"/>
              <w:rPr>
                <w:sz w:val="32"/>
                <w:szCs w:val="32"/>
              </w:rPr>
            </w:pPr>
            <w:r>
              <w:rPr>
                <w:rFonts w:ascii="Times New Roman" w:hAnsi="Times New Roman" w:cs="Times New Roman"/>
                <w:color w:val="#000000"/>
                <w:sz w:val="32"/>
                <w:szCs w:val="32"/>
              </w:rPr>
              <w:t> Б1.О.04</w:t>
            </w:r>
          </w:p>
        </w:tc>
        <w:tc>
          <w:tcPr>
            <w:tcW w:w="2836" w:type="dxa"/>
          </w:tcPr>
          <w:p/>
        </w:tc>
      </w:tr>
      <w:tr>
        <w:trPr>
          <w:trHeight w:hRule="exact" w:val="277.8304"/>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38.04.04 Государственное и муниципальное управление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«Юридическое обеспечение деятельности органов государственной власти и местного самоуправления»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277.8312"/>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tc>
      </w:tr>
      <w:tr>
        <w:trPr>
          <w:trHeight w:hRule="exact" w:val="36.75"/>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административно-технологический, контрольно-надзорный, научно- исследовательский</w:t>
            </w:r>
          </w:p>
        </w:tc>
      </w:tr>
      <w:tr>
        <w:trPr>
          <w:trHeight w:hRule="exact" w:val="848.042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989.457"/>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38.04.04 Государственное и муниципальное управление направленность (профиль) программы: «Юридическое обеспечение деятельности органов государственной власти и местного самоуправления»; форма обучения – заочная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«Организация добровольческой (волонтерской) деятельности и взаимодействие с социально ориентированными НКО»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 заочная форма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 «Организация добровольческой (волонтерской) деятельности и взаимодействие с социально ориентированными НКО».</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«Организация добровольческой (волонтерской) деятельности и взаимодействие с социально ориентированными НКО»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и руководить работой команды, вырабатывая командную стратегию для достижения поставленной цели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методы управления и организации командной работы</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основы стратегического планирования работы коллектива для достижения поставленной цели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вырабатывать стратегию сотрудничества и на ее основе организует отбор членов команды для достижения поставленной цели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планировать и корректировать работу команды с учетом интересов, особенностей поведения и мнений  ее членов, планировать командную работу,  распределять поручения и делегировать полномочия членам команды</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навыками разрешения конфликта и противоречия при деловом общении на основе учета интересов всех сторон</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навыками организации дискуссии по заданной теме и обсуждение результатов работы команды с привлечением оппонентов разработанным идеям</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 «Организация добровольческой (волонтерской) деятельности и взаимодействие с социально ориентированными НКО»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Государственное стратегическое планирование и управление</w:t>
            </w:r>
          </w:p>
          <w:p>
            <w:pPr>
              <w:jc w:val="center"/>
              <w:spacing w:after="0" w:line="240" w:lineRule="auto"/>
              <w:rPr>
                <w:sz w:val="22"/>
                <w:szCs w:val="22"/>
              </w:rPr>
            </w:pPr>
            <w:r>
              <w:rPr>
                <w:rFonts w:ascii="Times New Roman" w:hAnsi="Times New Roman" w:cs="Times New Roman"/>
                <w:color w:val="#000000"/>
                <w:sz w:val="22"/>
                <w:szCs w:val="22"/>
              </w:rPr>
              <w:t> Государственное управление и экономическая  политика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(аналитическая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1 зачетных единиц – 36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Волонтёрство как ресурс личностного роста и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Многообразие форм добровольческой</w:t>
            </w:r>
          </w:p>
          <w:p>
            <w:pPr>
              <w:jc w:val="left"/>
              <w:spacing w:after="0" w:line="240" w:lineRule="auto"/>
              <w:rPr>
                <w:sz w:val="24"/>
                <w:szCs w:val="24"/>
              </w:rPr>
            </w:pPr>
            <w:r>
              <w:rPr>
                <w:rFonts w:ascii="Times New Roman" w:hAnsi="Times New Roman" w:cs="Times New Roman"/>
                <w:color w:val="#000000"/>
                <w:sz w:val="24"/>
                <w:szCs w:val="24"/>
              </w:rPr>
              <w:t> (волонтерской)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Взаимодействие с социально ориентированными НКО, инициативными группами, органами власти и иными</w:t>
            </w:r>
          </w:p>
          <w:p>
            <w:pPr>
              <w:jc w:val="left"/>
              <w:spacing w:after="0" w:line="240" w:lineRule="auto"/>
              <w:rPr>
                <w:sz w:val="24"/>
                <w:szCs w:val="24"/>
              </w:rPr>
            </w:pPr>
            <w:r>
              <w:rPr>
                <w:rFonts w:ascii="Times New Roman" w:hAnsi="Times New Roman" w:cs="Times New Roman"/>
                <w:color w:val="#000000"/>
                <w:sz w:val="24"/>
                <w:szCs w:val="24"/>
              </w:rPr>
              <w:t>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Волонтёрство как ресурс личностного роста и общественного</w:t>
            </w:r>
          </w:p>
          <w:p>
            <w:pPr>
              <w:jc w:val="left"/>
              <w:spacing w:after="0" w:line="240" w:lineRule="auto"/>
              <w:rPr>
                <w:sz w:val="24"/>
                <w:szCs w:val="24"/>
              </w:rPr>
            </w:pPr>
            <w:r>
              <w:rPr>
                <w:rFonts w:ascii="Times New Roman" w:hAnsi="Times New Roman" w:cs="Times New Roman"/>
                <w:color w:val="#000000"/>
                <w:sz w:val="24"/>
                <w:szCs w:val="24"/>
              </w:rPr>
              <w:t>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Многообразие форм добровольческой (волонтерской)</w:t>
            </w:r>
          </w:p>
          <w:p>
            <w:pPr>
              <w:jc w:val="left"/>
              <w:spacing w:after="0" w:line="240" w:lineRule="auto"/>
              <w:rPr>
                <w:sz w:val="24"/>
                <w:szCs w:val="24"/>
              </w:rPr>
            </w:pPr>
            <w:r>
              <w:rPr>
                <w:rFonts w:ascii="Times New Roman" w:hAnsi="Times New Roman" w:cs="Times New Roman"/>
                <w:color w:val="#000000"/>
                <w:sz w:val="24"/>
                <w:szCs w:val="24"/>
              </w:rPr>
              <w:t>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Взаимодействие с социально ориентированными НКО, инициативными группами, органами власти и иными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5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14809.3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68.50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Волонтёрство как ресурс личностного роста и общественного развития</w:t>
            </w:r>
          </w:p>
        </w:tc>
      </w:tr>
      <w:tr>
        <w:trPr>
          <w:trHeight w:hRule="exact" w:val="277.8301"/>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добровольчества (волонтерства), добровольческой (волонтерской) организации, организатора добровольческой (волонтерской) деятельности. Взаимосвязь добровольчества(волонтерства) с существенными и позитивными изменениями в личности человека. Государственная политика в области развития добровольчества (волонтерства). Возможности добровольчества (волонтерства) в решении вопросов местного значения, социально-экономическом развитии регионов и достижении целей национального развития.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Многообразие форм добровольческой</w:t>
            </w:r>
          </w:p>
          <w:p>
            <w:pPr>
              <w:jc w:val="center"/>
              <w:spacing w:after="0" w:line="240" w:lineRule="auto"/>
              <w:rPr>
                <w:sz w:val="24"/>
                <w:szCs w:val="24"/>
              </w:rPr>
            </w:pPr>
            <w:r>
              <w:rPr>
                <w:rFonts w:ascii="Times New Roman" w:hAnsi="Times New Roman" w:cs="Times New Roman"/>
                <w:b/>
                <w:color w:val="#000000"/>
                <w:sz w:val="24"/>
                <w:szCs w:val="24"/>
              </w:rPr>
              <w:t> (волонтерской) деятельности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добровольческой (волонтерской) деятельности. Формы и виды добровольческой (волонтерской) деятельности: разнообразие и взаимное влияние. Историческое наследие и направления добровольчества. Развитие волонтерства в различных сферах жизнедеятельности. Циклы развития волонтерской деятельности. Волонтерский менеджмент. Программы саморазвития личности в аспекте добровольчества. Социальное проектирование. Благотворительность.</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работы с волонтерами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работы с волонтерами: рекрутинг, повышение узнаваемости проектов, работа со СМИ, обучение, оценка эффективности волонтерской деятельности. Границы ответственности добровольцев (волонтёров), организаторов добровольческой (волонтерской) деятельности и добровольческих (волонтерских) организаций. Мотивация волонтеров. Проблема и профилактика эмоционального выгорания. Сравнительный анализ мотивации стихийных волонтеров, эпизодических волонтеров и волонтеров долгосрочных проектов. Диагностика мотивации волонтеров. Показано, что волонтерская деятельность выступает как условие и фактор формирования  социально значимых личностных свойств человека. Определены основные потребности молодежи, реализуемые в рамках волонтерской деятельности: потребность человека быть нужным другому человеку, потребность в общении, потребность в творчестве, потребность в саморазвитии и построении карьеры, потребность в приобретении социального опыта, потребность в подтверждении самостоятельности и взрослости.</w:t>
            </w:r>
          </w:p>
        </w:tc>
      </w:tr>
      <w:tr>
        <w:trPr>
          <w:trHeight w:hRule="exact" w:val="855.541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Взаимодействие с социально ориентированными НКО, инициативными группами, органами власти и иными</w:t>
            </w:r>
          </w:p>
          <w:p>
            <w:pPr>
              <w:jc w:val="center"/>
              <w:spacing w:after="0" w:line="240" w:lineRule="auto"/>
              <w:rPr>
                <w:sz w:val="24"/>
                <w:szCs w:val="24"/>
              </w:rPr>
            </w:pPr>
            <w:r>
              <w:rPr>
                <w:rFonts w:ascii="Times New Roman" w:hAnsi="Times New Roman" w:cs="Times New Roman"/>
                <w:b/>
                <w:color w:val="#000000"/>
                <w:sz w:val="24"/>
                <w:szCs w:val="24"/>
              </w:rPr>
              <w:t> организациями.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Инновации в добровольчестве (волонтерстве) и деятельности социально ориентированных НКО. Формы, механизмы и порядки взаимодействия с федеральными органами власти, органами власти субъектов Российской Федерации, органами местного самоуправления, подведомственными им государственными и муниципальными учреждениями, иными организациями (по направлениям волонтерской деятельности). Взаимодействия с социально ориентированными НКО, органами власти и подведомственными им организациями: причины провалов и лучшие практики. Управление рисками в работе с волонтерами и волонтерскими организациями.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Волонтёрство как ресурс личностного роста и общественного</w:t>
            </w:r>
          </w:p>
          <w:p>
            <w:pPr>
              <w:jc w:val="center"/>
              <w:spacing w:after="0" w:line="240" w:lineRule="auto"/>
              <w:rPr>
                <w:sz w:val="24"/>
                <w:szCs w:val="24"/>
              </w:rPr>
            </w:pPr>
            <w:r>
              <w:rPr>
                <w:rFonts w:ascii="Times New Roman" w:hAnsi="Times New Roman" w:cs="Times New Roman"/>
                <w:b/>
                <w:color w:val="#000000"/>
                <w:sz w:val="24"/>
                <w:szCs w:val="24"/>
              </w:rPr>
              <w:t> развития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ходе обучения студенты активизируют личностные ресурсы, способствующие саморазвитию и самореализации, повышению уровня толерантности и личностной креативности как адаптационного ресурса и условия эффективной волонтерской деятельности, рефлексии, повышению устойчивости к эмоциональному выгоранию и профессиональной деформации.</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Многообразие форм добровольческой (волонтерской)</w:t>
            </w:r>
          </w:p>
          <w:p>
            <w:pPr>
              <w:jc w:val="center"/>
              <w:spacing w:after="0" w:line="240" w:lineRule="auto"/>
              <w:rPr>
                <w:sz w:val="24"/>
                <w:szCs w:val="24"/>
              </w:rPr>
            </w:pPr>
            <w:r>
              <w:rPr>
                <w:rFonts w:ascii="Times New Roman" w:hAnsi="Times New Roman" w:cs="Times New Roman"/>
                <w:b/>
                <w:color w:val="#000000"/>
                <w:sz w:val="24"/>
                <w:szCs w:val="24"/>
              </w:rPr>
              <w:t> деятельности.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типы и цели добровольчества (волонтерства): разнообразие и взаимное влияние. Механизмы и технологии добровольческой деятельности. Волонтерский менеджмент. Программы саморазвития личности в аспекте добровольчества.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работы с волонтерами.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Обучение позволит освоить современные психологические технологии диагностики потенциальных волонтеров, с целью профессионального отбора; повышения уровня коммуникативной компетентности, развития профессиональной наблюдательности, анализа различных аспектов синдрома эмоционального выгорания.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 концепций, подходов и (или) технологий.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Взаимодействие с социально ориентированными НКО, инициативными группами, органами власти и иными организациями.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результате обучения обучающиеся получат представление о знания о способах построения конструктивного общения (взаимодействия) с представителями органами власти и различных социальных групп; приобретают способность демонстрировать коммуникационные умения в контексте социального партнерства.</w:t>
            </w:r>
          </w:p>
        </w:tc>
      </w:tr>
      <w:tr>
        <w:trPr>
          <w:trHeight w:hRule="exact" w:val="855.54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«Организация добровольческой (волонтерской) деятельности и взаимодействие с социально ориентированными НКО» / Котлярова Т.С..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волонтерством:</w:t>
            </w:r>
            <w:r>
              <w:rPr/>
              <w:t xml:space="preserve"> </w:t>
            </w:r>
            <w:r>
              <w:rPr>
                <w:rFonts w:ascii="Times New Roman" w:hAnsi="Times New Roman" w:cs="Times New Roman"/>
                <w:color w:val="#000000"/>
                <w:sz w:val="24"/>
                <w:szCs w:val="24"/>
              </w:rPr>
              <w:t>международный</w:t>
            </w:r>
            <w:r>
              <w:rPr/>
              <w:t xml:space="preserve"> </w:t>
            </w:r>
            <w:r>
              <w:rPr>
                <w:rFonts w:ascii="Times New Roman" w:hAnsi="Times New Roman" w:cs="Times New Roman"/>
                <w:color w:val="#000000"/>
                <w:sz w:val="24"/>
                <w:szCs w:val="24"/>
              </w:rPr>
              <w:t>опыт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локальные</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Певная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Зборовский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978-5-534-10984-9.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https://urait.ru/bcode/454782</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волонтерского</w:t>
            </w:r>
            <w:r>
              <w:rPr/>
              <w:t xml:space="preserve"> </w:t>
            </w:r>
            <w:r>
              <w:rPr>
                <w:rFonts w:ascii="Times New Roman" w:hAnsi="Times New Roman" w:cs="Times New Roman"/>
                <w:color w:val="#000000"/>
                <w:sz w:val="24"/>
                <w:szCs w:val="24"/>
              </w:rPr>
              <w:t>движения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Митрофаненко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http://www.iprbookshop.ru/63025.html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Социально-культурное</w:t>
            </w:r>
            <w:r>
              <w:rPr/>
              <w:t xml:space="preserve"> </w:t>
            </w:r>
            <w:r>
              <w:rPr>
                <w:rFonts w:ascii="Times New Roman" w:hAnsi="Times New Roman" w:cs="Times New Roman"/>
                <w:color w:val="#000000"/>
                <w:sz w:val="24"/>
                <w:szCs w:val="24"/>
              </w:rPr>
              <w:t>творчество</w:t>
            </w:r>
            <w:r>
              <w:rPr/>
              <w:t xml:space="preserve"> </w:t>
            </w:r>
            <w:r>
              <w:rPr>
                <w:rFonts w:ascii="Times New Roman" w:hAnsi="Times New Roman" w:cs="Times New Roman"/>
                <w:color w:val="#000000"/>
                <w:sz w:val="24"/>
                <w:szCs w:val="24"/>
              </w:rPr>
              <w:t>участников</w:t>
            </w:r>
            <w:r>
              <w:rPr/>
              <w:t xml:space="preserve"> </w:t>
            </w:r>
            <w:r>
              <w:rPr>
                <w:rFonts w:ascii="Times New Roman" w:hAnsi="Times New Roman" w:cs="Times New Roman"/>
                <w:color w:val="#000000"/>
                <w:sz w:val="24"/>
                <w:szCs w:val="24"/>
              </w:rPr>
              <w:t>молодежных</w:t>
            </w:r>
            <w:r>
              <w:rPr/>
              <w:t xml:space="preserve"> </w:t>
            </w:r>
            <w:r>
              <w:rPr>
                <w:rFonts w:ascii="Times New Roman" w:hAnsi="Times New Roman" w:cs="Times New Roman"/>
                <w:color w:val="#000000"/>
                <w:sz w:val="24"/>
                <w:szCs w:val="24"/>
              </w:rPr>
              <w:t>объединений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формировании</w:t>
            </w:r>
            <w:r>
              <w:rPr/>
              <w:t xml:space="preserve"> </w:t>
            </w:r>
            <w:r>
              <w:rPr>
                <w:rFonts w:ascii="Times New Roman" w:hAnsi="Times New Roman" w:cs="Times New Roman"/>
                <w:color w:val="#000000"/>
                <w:sz w:val="24"/>
                <w:szCs w:val="24"/>
              </w:rPr>
              <w:t>института</w:t>
            </w:r>
            <w:r>
              <w:rPr/>
              <w:t xml:space="preserve"> </w:t>
            </w:r>
            <w:r>
              <w:rPr>
                <w:rFonts w:ascii="Times New Roman" w:hAnsi="Times New Roman" w:cs="Times New Roman"/>
                <w:color w:val="#000000"/>
                <w:sz w:val="24"/>
                <w:szCs w:val="24"/>
              </w:rPr>
              <w:t>волонтерства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Васильковская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Пономарёв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Кемерово:</w:t>
            </w:r>
            <w:r>
              <w:rPr/>
              <w:t xml:space="preserve"> </w:t>
            </w:r>
            <w:r>
              <w:rPr>
                <w:rFonts w:ascii="Times New Roman" w:hAnsi="Times New Roman" w:cs="Times New Roman"/>
                <w:color w:val="#000000"/>
                <w:sz w:val="24"/>
                <w:szCs w:val="24"/>
              </w:rPr>
              <w:t>Кемеровский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978-5-8154-0361-1.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http://www.iprbookshop.ru/66366.html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Тимец</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978-5-00094-344-1.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http://www.iprbookshop.ru/68907.html</w:t>
            </w:r>
            <w:r>
              <w:rPr/>
              <w:t xml:space="preserve"> </w:t>
            </w:r>
          </w:p>
        </w:tc>
      </w:tr>
      <w:tr>
        <w:trPr>
          <w:trHeight w:hRule="exact" w:val="585.06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17.98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197.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338.8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296.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2024-2025_ФГОС3++2024_Маг-ЗФО-ГМУ(ЮО)(24)_plx_Организация добровольческой (волонтерской) деятельности и взаимодействие с социально ориентированными НКО</dc:title>
  <dc:creator>FastReport.NET</dc:creator>
</cp:coreProperties>
</file>